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360" w:lineRule="auto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/>
          <w:sz w:val="48"/>
          <w:szCs w:val="48"/>
        </w:rPr>
        <w:drawing>
          <wp:inline distT="0" distB="0" distL="0" distR="0">
            <wp:extent cx="2825115" cy="7423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896" cy="74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hAnsi="黑体" w:eastAsia="黑体"/>
          <w:sz w:val="72"/>
          <w:szCs w:val="72"/>
        </w:rPr>
      </w:pP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hAnsi="黑体" w:eastAsia="黑体"/>
          <w:sz w:val="72"/>
          <w:szCs w:val="72"/>
        </w:rPr>
      </w:pP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本科课程教学大纲</w:t>
      </w: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36"/>
          <w:szCs w:val="36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rPr>
          <w:rFonts w:ascii="楷体_GB2312" w:eastAsia="楷体_GB2312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ⅩⅩⅩⅩ</w:t>
      </w:r>
      <w:r>
        <w:rPr>
          <w:rFonts w:hint="eastAsia" w:ascii="黑体" w:hAnsi="黑体" w:eastAsia="黑体"/>
          <w:sz w:val="44"/>
          <w:szCs w:val="44"/>
        </w:rPr>
        <w:t>学院编印</w:t>
      </w:r>
    </w:p>
    <w:p>
      <w:pPr>
        <w:spacing w:before="312" w:beforeLines="100" w:line="360" w:lineRule="auto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二O一九年九月</w:t>
      </w: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</w:rPr>
      </w:pPr>
    </w:p>
    <w:p>
      <w:pPr>
        <w:spacing w:after="312" w:afterLines="10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《××××》课程教学大纲</w:t>
      </w:r>
      <w:r>
        <w:rPr>
          <w:rFonts w:hint="eastAsia" w:ascii="黑体" w:hAnsi="黑体" w:eastAsia="黑体"/>
          <w:i/>
          <w:sz w:val="32"/>
          <w:szCs w:val="32"/>
        </w:rPr>
        <w:t>（三号黑体不加黑）</w:t>
      </w:r>
    </w:p>
    <w:p>
      <w:pPr>
        <w:spacing w:line="360" w:lineRule="auto"/>
        <w:ind w:firstLine="720" w:firstLineChars="3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一、课程信息</w:t>
      </w:r>
      <w:r>
        <w:rPr>
          <w:rFonts w:hint="eastAsia" w:ascii="黑体" w:hAnsi="黑体" w:eastAsia="黑体"/>
          <w:i/>
          <w:sz w:val="24"/>
          <w:szCs w:val="24"/>
        </w:rPr>
        <w:t>（一级标题：小四黑体不加黑，下同）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0" w:firstLineChars="1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（正文：小四仿宋-GB2312， 1.5倍行距）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课程名称：</w:t>
      </w:r>
      <w:r>
        <w:rPr>
          <w:rFonts w:hint="eastAsia" w:ascii="仿宋" w:hAnsi="仿宋" w:eastAsia="仿宋"/>
          <w:sz w:val="24"/>
          <w:szCs w:val="24"/>
        </w:rPr>
        <w:t xml:space="preserve">××××××× </w:t>
      </w:r>
      <w:r>
        <w:rPr>
          <w:rFonts w:hint="eastAsia" w:ascii="仿宋" w:hAnsi="仿宋" w:eastAsia="仿宋"/>
          <w:i/>
          <w:sz w:val="24"/>
          <w:szCs w:val="24"/>
        </w:rPr>
        <w:t>（中文）</w:t>
      </w: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1440" w:firstLineChars="6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××××××× </w:t>
      </w:r>
      <w:r>
        <w:rPr>
          <w:rFonts w:hint="eastAsia" w:ascii="仿宋" w:hAnsi="仿宋" w:eastAsia="仿宋"/>
          <w:i/>
          <w:sz w:val="24"/>
          <w:szCs w:val="24"/>
        </w:rPr>
        <w:t>（英文）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课程代码：</w:t>
      </w:r>
      <w:r>
        <w:rPr>
          <w:rFonts w:hint="eastAsia" w:ascii="仿宋" w:hAnsi="仿宋" w:eastAsia="仿宋"/>
          <w:sz w:val="24"/>
          <w:szCs w:val="24"/>
        </w:rPr>
        <w:t>×××××××</w:t>
      </w:r>
    </w:p>
    <w:p>
      <w:pPr>
        <w:kinsoku w:val="0"/>
        <w:overflowPunct w:val="0"/>
        <w:autoSpaceDE w:val="0"/>
        <w:autoSpaceDN w:val="0"/>
        <w:spacing w:line="360" w:lineRule="auto"/>
        <w:ind w:left="1835" w:leftChars="300" w:hanging="1205" w:hangingChars="5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课程类别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i/>
          <w:sz w:val="24"/>
          <w:szCs w:val="24"/>
        </w:rPr>
        <w:t>通识教育课程（或学科专业课程</w:t>
      </w:r>
      <w:r>
        <w:rPr>
          <w:rFonts w:ascii="仿宋" w:hAnsi="仿宋" w:eastAsia="仿宋"/>
          <w:i/>
          <w:sz w:val="24"/>
          <w:szCs w:val="24"/>
        </w:rPr>
        <w:t>、教师教育课程</w:t>
      </w:r>
      <w:r>
        <w:rPr>
          <w:rFonts w:hint="eastAsia" w:ascii="仿宋" w:hAnsi="仿宋" w:eastAsia="仿宋"/>
          <w:i/>
          <w:sz w:val="24"/>
          <w:szCs w:val="24"/>
        </w:rPr>
        <w:t>）</w:t>
      </w:r>
      <w:r>
        <w:rPr>
          <w:rFonts w:ascii="仿宋" w:hAnsi="仿宋" w:eastAsia="仿宋"/>
          <w:i/>
          <w:sz w:val="24"/>
          <w:szCs w:val="24"/>
        </w:rPr>
        <w:t>/</w:t>
      </w:r>
      <w:r>
        <w:rPr>
          <w:rFonts w:hint="eastAsia" w:ascii="仿宋" w:hAnsi="仿宋" w:eastAsia="仿宋"/>
          <w:i/>
          <w:sz w:val="24"/>
          <w:szCs w:val="24"/>
        </w:rPr>
        <w:t>必修课（或选修课）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适用专业</w:t>
      </w:r>
      <w:r>
        <w:rPr>
          <w:rFonts w:hint="eastAsia" w:ascii="仿宋" w:hAnsi="仿宋" w:eastAsia="仿宋"/>
          <w:sz w:val="24"/>
          <w:szCs w:val="24"/>
        </w:rPr>
        <w:t>：××××专业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课程学时</w:t>
      </w:r>
      <w:r>
        <w:rPr>
          <w:rFonts w:hint="eastAsia" w:ascii="仿宋" w:hAnsi="仿宋" w:eastAsia="仿宋"/>
          <w:sz w:val="24"/>
          <w:szCs w:val="24"/>
        </w:rPr>
        <w:t>：××学时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课程学分</w:t>
      </w:r>
      <w:r>
        <w:rPr>
          <w:rFonts w:hint="eastAsia" w:ascii="仿宋" w:hAnsi="仿宋" w:eastAsia="仿宋"/>
          <w:sz w:val="24"/>
          <w:szCs w:val="24"/>
        </w:rPr>
        <w:t>：××学分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修读学期：</w:t>
      </w:r>
      <w:r>
        <w:rPr>
          <w:rFonts w:hint="eastAsia" w:ascii="仿宋" w:hAnsi="仿宋" w:eastAsia="仿宋"/>
          <w:sz w:val="24"/>
          <w:szCs w:val="24"/>
        </w:rPr>
        <w:t>第×学期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先修课程</w:t>
      </w:r>
      <w:r>
        <w:rPr>
          <w:rFonts w:hint="eastAsia" w:ascii="仿宋" w:hAnsi="仿宋" w:eastAsia="仿宋"/>
          <w:sz w:val="24"/>
          <w:szCs w:val="24"/>
        </w:rPr>
        <w:t>：××××××</w:t>
      </w:r>
    </w:p>
    <w:p>
      <w:pPr>
        <w:kinsoku w:val="0"/>
        <w:overflowPunct w:val="0"/>
        <w:autoSpaceDE w:val="0"/>
        <w:autoSpaceDN w:val="0"/>
        <w:spacing w:line="360" w:lineRule="auto"/>
        <w:ind w:left="420" w:leftChars="200" w:firstLine="241" w:firstLineChars="1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课内实验（实践）：</w:t>
      </w:r>
      <w:r>
        <w:rPr>
          <w:rFonts w:hint="eastAsia" w:ascii="仿宋" w:hAnsi="仿宋" w:eastAsia="仿宋"/>
          <w:sz w:val="24"/>
          <w:szCs w:val="24"/>
        </w:rPr>
        <w:t>×个实验（实践）项目共××学时</w:t>
      </w:r>
      <w:r>
        <w:rPr>
          <w:rFonts w:ascii="仿宋" w:hAnsi="仿宋" w:eastAsia="仿宋"/>
          <w:i/>
          <w:sz w:val="24"/>
          <w:szCs w:val="24"/>
        </w:rPr>
        <w:t>（</w:t>
      </w:r>
      <w:r>
        <w:rPr>
          <w:rFonts w:hint="eastAsia" w:ascii="仿宋" w:hAnsi="仿宋" w:eastAsia="仿宋"/>
          <w:i/>
          <w:sz w:val="24"/>
          <w:szCs w:val="24"/>
        </w:rPr>
        <w:t>凡是</w:t>
      </w:r>
      <w:r>
        <w:rPr>
          <w:rFonts w:ascii="仿宋" w:hAnsi="仿宋" w:eastAsia="仿宋"/>
          <w:i/>
          <w:sz w:val="24"/>
          <w:szCs w:val="24"/>
        </w:rPr>
        <w:t>课程内有实</w:t>
      </w:r>
    </w:p>
    <w:p>
      <w:pPr>
        <w:kinsoku w:val="0"/>
        <w:overflowPunct w:val="0"/>
        <w:autoSpaceDE w:val="0"/>
        <w:autoSpaceDN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i/>
          <w:sz w:val="24"/>
          <w:szCs w:val="24"/>
        </w:rPr>
        <w:t>验</w:t>
      </w:r>
      <w:r>
        <w:rPr>
          <w:rFonts w:hint="eastAsia" w:ascii="仿宋" w:hAnsi="仿宋" w:eastAsia="仿宋"/>
          <w:i/>
          <w:sz w:val="24"/>
          <w:szCs w:val="24"/>
        </w:rPr>
        <w:t>（实践）</w:t>
      </w:r>
      <w:r>
        <w:rPr>
          <w:rFonts w:ascii="仿宋" w:hAnsi="仿宋" w:eastAsia="仿宋"/>
          <w:i/>
          <w:sz w:val="24"/>
          <w:szCs w:val="24"/>
        </w:rPr>
        <w:t>的填写此项）</w:t>
      </w:r>
    </w:p>
    <w:p>
      <w:pPr>
        <w:spacing w:line="360" w:lineRule="auto"/>
        <w:ind w:firstLine="600" w:firstLineChars="2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二、课程目标</w:t>
      </w:r>
    </w:p>
    <w:p>
      <w:pPr>
        <w:kinsoku w:val="0"/>
        <w:overflowPunct w:val="0"/>
        <w:autoSpaceDE w:val="0"/>
        <w:autoSpaceDN w:val="0"/>
        <w:spacing w:line="360" w:lineRule="auto"/>
        <w:ind w:firstLine="602" w:firstLineChars="2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（一）具体目标</w:t>
      </w:r>
      <w:r>
        <w:rPr>
          <w:rFonts w:hint="eastAsia" w:ascii="仿宋" w:hAnsi="仿宋" w:eastAsia="仿宋"/>
          <w:b/>
          <w:i/>
          <w:sz w:val="24"/>
          <w:szCs w:val="24"/>
        </w:rPr>
        <w:t>（二级标题：小四仿宋-GB2312加黑，下同）</w:t>
      </w:r>
    </w:p>
    <w:p>
      <w:pPr>
        <w:kinsoku w:val="0"/>
        <w:overflowPunct w:val="0"/>
        <w:autoSpaceDE w:val="0"/>
        <w:autoSpaceDN w:val="0"/>
        <w:spacing w:line="360" w:lineRule="auto"/>
        <w:ind w:left="315" w:leftChars="150"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通过本课程的学习，使学生达到以下目标：</w:t>
      </w:r>
    </w:p>
    <w:p>
      <w:pPr>
        <w:kinsoku w:val="0"/>
        <w:overflowPunct w:val="0"/>
        <w:autoSpaceDE w:val="0"/>
        <w:autoSpaceDN w:val="0"/>
        <w:spacing w:line="360" w:lineRule="auto"/>
        <w:ind w:left="315" w:leftChars="15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（通过本课程学习，学生在知识、能力、素质等方面所要达到的预期结果。）</w:t>
      </w:r>
    </w:p>
    <w:p>
      <w:pPr>
        <w:kinsoku w:val="0"/>
        <w:overflowPunct w:val="0"/>
        <w:autoSpaceDE w:val="0"/>
        <w:autoSpaceDN w:val="0"/>
        <w:spacing w:line="360" w:lineRule="auto"/>
        <w:ind w:firstLine="480" w:firstLineChars="2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示例：某师范大学《</w:t>
      </w:r>
      <w:r>
        <w:rPr>
          <w:rFonts w:ascii="仿宋" w:hAnsi="仿宋" w:eastAsia="仿宋"/>
          <w:i/>
          <w:sz w:val="24"/>
          <w:szCs w:val="24"/>
        </w:rPr>
        <w:t>生物</w:t>
      </w:r>
      <w:r>
        <w:rPr>
          <w:rFonts w:hint="eastAsia" w:ascii="仿宋" w:hAnsi="仿宋" w:eastAsia="仿宋"/>
          <w:i/>
          <w:sz w:val="24"/>
          <w:szCs w:val="24"/>
        </w:rPr>
        <w:t>学</w:t>
      </w:r>
      <w:r>
        <w:rPr>
          <w:rFonts w:ascii="仿宋" w:hAnsi="仿宋" w:eastAsia="仿宋"/>
          <w:i/>
          <w:sz w:val="24"/>
          <w:szCs w:val="24"/>
        </w:rPr>
        <w:t>教学论</w:t>
      </w:r>
      <w:r>
        <w:rPr>
          <w:rFonts w:hint="eastAsia" w:ascii="仿宋" w:hAnsi="仿宋" w:eastAsia="仿宋"/>
          <w:i/>
          <w:sz w:val="24"/>
          <w:szCs w:val="24"/>
        </w:rPr>
        <w:t>》</w:t>
      </w:r>
      <w:r>
        <w:rPr>
          <w:rFonts w:ascii="仿宋" w:hAnsi="仿宋" w:eastAsia="仿宋"/>
          <w:i/>
          <w:sz w:val="24"/>
          <w:szCs w:val="24"/>
        </w:rPr>
        <w:t>课程目标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i/>
          <w:sz w:val="24"/>
          <w:szCs w:val="24"/>
        </w:rPr>
        <w:t xml:space="preserve">   </w:t>
      </w:r>
      <w:r>
        <w:rPr>
          <w:rFonts w:hint="eastAsia" w:ascii="仿宋" w:hAnsi="仿宋" w:eastAsia="仿宋"/>
          <w:i/>
          <w:sz w:val="24"/>
          <w:szCs w:val="24"/>
        </w:rPr>
        <w:t xml:space="preserve"> </w:t>
      </w:r>
      <w:r>
        <w:rPr>
          <w:rFonts w:ascii="仿宋" w:hAnsi="仿宋" w:eastAsia="仿宋"/>
          <w:i/>
          <w:sz w:val="24"/>
          <w:szCs w:val="24"/>
        </w:rPr>
        <w:t xml:space="preserve"> </w:t>
      </w:r>
      <w:r>
        <w:rPr>
          <w:rFonts w:hint="eastAsia" w:ascii="仿宋" w:hAnsi="仿宋" w:eastAsia="仿宋"/>
          <w:i/>
          <w:sz w:val="24"/>
          <w:szCs w:val="24"/>
        </w:rPr>
        <w:t>1. 理解生物学教学论的有关理论，包括对教育学、学习心理学等基本理论的理解与应用、对科学本质的理解及科学教育理论的应用。</w:t>
      </w:r>
      <w:r>
        <w:rPr>
          <w:rFonts w:ascii="仿宋" w:hAnsi="仿宋" w:eastAsia="仿宋"/>
          <w:b/>
          <w:sz w:val="24"/>
          <w:szCs w:val="24"/>
        </w:rPr>
        <w:t>【支撑毕业要求</w:t>
      </w:r>
      <w:r>
        <w:rPr>
          <w:rFonts w:hint="eastAsia" w:ascii="仿宋" w:hAnsi="仿宋" w:eastAsia="仿宋"/>
          <w:b/>
          <w:sz w:val="24"/>
          <w:szCs w:val="24"/>
        </w:rPr>
        <w:t>×</w:t>
      </w:r>
      <w:r>
        <w:rPr>
          <w:rFonts w:ascii="仿宋" w:hAnsi="仿宋" w:eastAsia="仿宋"/>
          <w:b/>
          <w:sz w:val="24"/>
          <w:szCs w:val="24"/>
        </w:rPr>
        <w:t>】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i/>
          <w:sz w:val="24"/>
          <w:szCs w:val="24"/>
        </w:rPr>
        <w:t xml:space="preserve">   </w:t>
      </w:r>
      <w:r>
        <w:rPr>
          <w:rFonts w:hint="eastAsia" w:ascii="仿宋" w:hAnsi="仿宋" w:eastAsia="仿宋"/>
          <w:i/>
          <w:sz w:val="24"/>
          <w:szCs w:val="24"/>
        </w:rPr>
        <w:t xml:space="preserve"> </w:t>
      </w:r>
      <w:r>
        <w:rPr>
          <w:rFonts w:ascii="仿宋" w:hAnsi="仿宋" w:eastAsia="仿宋"/>
          <w:i/>
          <w:sz w:val="24"/>
          <w:szCs w:val="24"/>
        </w:rPr>
        <w:t xml:space="preserve"> </w:t>
      </w:r>
      <w:r>
        <w:rPr>
          <w:rFonts w:hint="eastAsia" w:ascii="仿宋" w:hAnsi="仿宋" w:eastAsia="仿宋"/>
          <w:i/>
          <w:sz w:val="24"/>
          <w:szCs w:val="24"/>
        </w:rPr>
        <w:t>2. 理解初中及高中阶段的生物学国家课程标准并用以指导教学，认识中学生物学课程教学工作及中学生物学教师的岗位要求。</w:t>
      </w:r>
      <w:r>
        <w:rPr>
          <w:rFonts w:ascii="仿宋" w:hAnsi="仿宋" w:eastAsia="仿宋"/>
          <w:b/>
          <w:sz w:val="24"/>
          <w:szCs w:val="24"/>
        </w:rPr>
        <w:t>【</w:t>
      </w:r>
      <w:r>
        <w:rPr>
          <w:rFonts w:hint="eastAsia" w:ascii="仿宋" w:hAnsi="仿宋" w:eastAsia="仿宋"/>
          <w:b/>
          <w:sz w:val="24"/>
          <w:szCs w:val="24"/>
        </w:rPr>
        <w:t>支撑</w:t>
      </w:r>
      <w:r>
        <w:rPr>
          <w:rFonts w:ascii="仿宋" w:hAnsi="仿宋" w:eastAsia="仿宋"/>
          <w:b/>
          <w:sz w:val="24"/>
          <w:szCs w:val="24"/>
        </w:rPr>
        <w:t>毕业要求</w:t>
      </w:r>
      <w:r>
        <w:rPr>
          <w:rFonts w:hint="eastAsia" w:ascii="仿宋" w:hAnsi="仿宋" w:eastAsia="仿宋"/>
          <w:b/>
          <w:sz w:val="24"/>
          <w:szCs w:val="24"/>
        </w:rPr>
        <w:t>×、×</w:t>
      </w:r>
      <w:r>
        <w:rPr>
          <w:rFonts w:ascii="仿宋" w:hAnsi="仿宋" w:eastAsia="仿宋"/>
          <w:b/>
          <w:sz w:val="24"/>
          <w:szCs w:val="24"/>
        </w:rPr>
        <w:t>】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 </w:t>
      </w:r>
      <w:r>
        <w:rPr>
          <w:rFonts w:ascii="仿宋" w:hAnsi="仿宋" w:eastAsia="仿宋"/>
          <w:b/>
          <w:sz w:val="24"/>
          <w:szCs w:val="24"/>
        </w:rPr>
        <w:t>……</w:t>
      </w:r>
    </w:p>
    <w:p>
      <w:pPr>
        <w:kinsoku w:val="0"/>
        <w:overflowPunct w:val="0"/>
        <w:autoSpaceDE w:val="0"/>
        <w:autoSpaceDN w:val="0"/>
        <w:spacing w:line="360" w:lineRule="auto"/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（二）课程目标</w:t>
      </w:r>
      <w:r>
        <w:rPr>
          <w:rFonts w:ascii="仿宋" w:hAnsi="仿宋" w:eastAsia="仿宋"/>
          <w:b/>
          <w:sz w:val="24"/>
          <w:szCs w:val="24"/>
        </w:rPr>
        <w:t>与毕业要求的对应关系</w:t>
      </w:r>
    </w:p>
    <w:p>
      <w:pPr>
        <w:kinsoku w:val="0"/>
        <w:overflowPunct w:val="0"/>
        <w:autoSpaceDE w:val="0"/>
        <w:autoSpaceDN w:val="0"/>
        <w:spacing w:before="156" w:beforeLines="50" w:line="360" w:lineRule="auto"/>
        <w:jc w:val="center"/>
        <w:rPr>
          <w:rFonts w:ascii="仿宋" w:hAnsi="仿宋" w:eastAsia="仿宋"/>
          <w:i/>
          <w:sz w:val="24"/>
          <w:szCs w:val="24"/>
        </w:rPr>
      </w:pPr>
    </w:p>
    <w:p>
      <w:pPr>
        <w:kinsoku w:val="0"/>
        <w:overflowPunct w:val="0"/>
        <w:autoSpaceDE w:val="0"/>
        <w:autoSpaceDN w:val="0"/>
        <w:spacing w:before="156" w:beforeLines="50" w:line="360" w:lineRule="auto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表1 课程目标与毕业要求的对应关系</w:t>
      </w:r>
      <w:r>
        <w:rPr>
          <w:rFonts w:hint="eastAsia" w:ascii="楷体" w:hAnsi="楷体" w:eastAsia="楷体"/>
          <w:b/>
          <w:i/>
          <w:sz w:val="24"/>
          <w:szCs w:val="24"/>
        </w:rPr>
        <w:t>（示例）</w:t>
      </w:r>
    </w:p>
    <w:p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楷体" w:hAnsi="楷体" w:eastAsia="楷体"/>
          <w:b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（表头小四楷体-GB2312加黑；表内小五楷体，单倍行距，下同。）</w:t>
      </w:r>
    </w:p>
    <w:tbl>
      <w:tblPr>
        <w:tblStyle w:val="6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3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sz w:val="18"/>
                <w:szCs w:val="18"/>
              </w:rPr>
              <w:t>课程目标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支撑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的毕业要求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支撑的毕业要求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指标点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课程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目标1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i/>
                <w:sz w:val="18"/>
                <w:szCs w:val="18"/>
              </w:rPr>
              <w:t>3</w:t>
            </w:r>
            <w:r>
              <w:rPr>
                <w:rFonts w:ascii="楷体" w:hAnsi="楷体" w:eastAsia="楷体"/>
                <w:b/>
                <w:i/>
                <w:sz w:val="18"/>
                <w:szCs w:val="18"/>
              </w:rPr>
              <w:t>.学科素养</w:t>
            </w:r>
            <w:r>
              <w:rPr>
                <w:rFonts w:ascii="楷体" w:hAnsi="楷体" w:eastAsia="楷体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>3-1 掌握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教育学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生物学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生态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学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及实验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技术等相关基础知识与专业知识，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具备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进行日常教学、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竞赛组织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以及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科学研究的知识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与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 xml:space="preserve">3-2 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掌握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情境学习、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探究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学习、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问题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解决学习等多种教学策略，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能够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以学生为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中心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系统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pStyle w:val="8"/>
              <w:ind w:left="360" w:firstLine="0" w:firstLineChars="0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 xml:space="preserve">3-3 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能够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通过文献查阅与交流学习，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不断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了解生物学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教学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领域的理论前沿、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最新动态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与前景需求，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并依此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不断改进完善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教学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课程</w:t>
            </w:r>
            <w:r>
              <w:rPr>
                <w:rFonts w:ascii="楷体" w:hAnsi="楷体" w:eastAsia="楷体"/>
                <w:b/>
                <w:sz w:val="18"/>
                <w:szCs w:val="18"/>
              </w:rPr>
              <w:t>目标2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pStyle w:val="8"/>
              <w:ind w:left="360" w:firstLine="181" w:firstLineChars="100"/>
              <w:rPr>
                <w:rFonts w:ascii="楷体" w:hAnsi="楷体" w:eastAsia="楷体"/>
                <w:b/>
                <w:i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i/>
                <w:sz w:val="18"/>
                <w:szCs w:val="18"/>
              </w:rPr>
              <w:t>3</w:t>
            </w:r>
            <w:r>
              <w:rPr>
                <w:rFonts w:ascii="楷体" w:hAnsi="楷体" w:eastAsia="楷体"/>
                <w:b/>
                <w:i/>
                <w:sz w:val="18"/>
                <w:szCs w:val="18"/>
              </w:rPr>
              <w:t xml:space="preserve">.学科素养 </w:t>
            </w:r>
          </w:p>
          <w:p>
            <w:pPr>
              <w:pStyle w:val="8"/>
              <w:ind w:left="360" w:firstLine="181" w:firstLineChars="100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i/>
                <w:sz w:val="18"/>
                <w:szCs w:val="18"/>
              </w:rPr>
              <w:t>4</w:t>
            </w:r>
            <w:r>
              <w:rPr>
                <w:rFonts w:ascii="楷体" w:hAnsi="楷体" w:eastAsia="楷体"/>
                <w:b/>
                <w:i/>
                <w:sz w:val="18"/>
                <w:szCs w:val="18"/>
              </w:rPr>
              <w:t>.</w:t>
            </w:r>
            <w:r>
              <w:rPr>
                <w:rFonts w:hint="eastAsia" w:ascii="楷体" w:hAnsi="楷体" w:eastAsia="楷体"/>
                <w:b/>
                <w:i/>
                <w:sz w:val="18"/>
                <w:szCs w:val="18"/>
              </w:rPr>
              <w:t>教学</w:t>
            </w:r>
            <w:r>
              <w:rPr>
                <w:rFonts w:ascii="楷体" w:hAnsi="楷体" w:eastAsia="楷体"/>
                <w:b/>
                <w:i/>
                <w:sz w:val="18"/>
                <w:szCs w:val="18"/>
              </w:rPr>
              <w:t xml:space="preserve">能力 </w:t>
            </w: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>3-1 掌握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教育学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生物学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生态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学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及实验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技术等相关基础知识与专业知识，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具备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进行日常教学、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竞赛组织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以及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科学研究的知识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与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pStyle w:val="8"/>
              <w:ind w:left="360" w:firstLine="0" w:firstLineChars="0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 xml:space="preserve">3-2 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掌握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情境学习、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探究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学习、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问题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解决学习等多种教学策略，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能够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以学生为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中心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系统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pStyle w:val="8"/>
              <w:ind w:left="360" w:firstLine="0" w:firstLineChars="0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>4-1 理解学生身心发展规律与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生物学科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认知特点，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能够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理解生物学课程标准与内涵，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并依此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组织教学。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i/>
                <w:sz w:val="18"/>
                <w:szCs w:val="18"/>
              </w:rPr>
              <w:t>……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b/>
                <w:i/>
                <w:sz w:val="18"/>
                <w:szCs w:val="18"/>
              </w:rPr>
              <w:t>……</w:t>
            </w:r>
          </w:p>
        </w:tc>
        <w:tc>
          <w:tcPr>
            <w:tcW w:w="4395" w:type="dxa"/>
            <w:vAlign w:val="center"/>
          </w:tcPr>
          <w:p>
            <w:pPr>
              <w:ind w:firstLine="1620" w:firstLineChars="900"/>
              <w:jc w:val="left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>……</w:t>
            </w:r>
          </w:p>
        </w:tc>
      </w:tr>
    </w:tbl>
    <w:p>
      <w:pPr>
        <w:spacing w:before="156" w:beforeLines="50"/>
        <w:ind w:firstLine="360" w:firstLineChars="200"/>
        <w:rPr>
          <w:rFonts w:ascii="仿宋" w:hAnsi="仿宋" w:eastAsia="仿宋"/>
          <w:i/>
          <w:sz w:val="18"/>
          <w:szCs w:val="18"/>
        </w:rPr>
      </w:pPr>
    </w:p>
    <w:p>
      <w:pPr>
        <w:spacing w:before="156" w:beforeLines="50"/>
        <w:ind w:firstLine="480" w:firstLineChars="2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（通识教育课程、教师教育课程和交叉课程只需列举课程目标即可。）</w:t>
      </w:r>
    </w:p>
    <w:p>
      <w:pPr>
        <w:spacing w:before="156" w:beforeLines="50"/>
        <w:ind w:firstLine="480" w:firstLineChars="200"/>
        <w:rPr>
          <w:rFonts w:ascii="仿宋" w:hAnsi="仿宋" w:eastAsia="仿宋"/>
          <w:i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三、课程内容</w:t>
      </w:r>
    </w:p>
    <w:p>
      <w:pPr>
        <w:kinsoku w:val="0"/>
        <w:overflowPunct w:val="0"/>
        <w:autoSpaceDE w:val="0"/>
        <w:autoSpaceDN w:val="0"/>
        <w:spacing w:line="360" w:lineRule="auto"/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（一）课程内容</w:t>
      </w:r>
      <w:r>
        <w:rPr>
          <w:rFonts w:ascii="仿宋" w:hAnsi="仿宋" w:eastAsia="仿宋"/>
          <w:b/>
          <w:sz w:val="24"/>
          <w:szCs w:val="24"/>
        </w:rPr>
        <w:t>与</w:t>
      </w:r>
      <w:r>
        <w:rPr>
          <w:rFonts w:hint="eastAsia" w:ascii="仿宋" w:hAnsi="仿宋" w:eastAsia="仿宋"/>
          <w:b/>
          <w:sz w:val="24"/>
          <w:szCs w:val="24"/>
        </w:rPr>
        <w:t>课程目标</w:t>
      </w:r>
      <w:r>
        <w:rPr>
          <w:rFonts w:ascii="仿宋" w:hAnsi="仿宋" w:eastAsia="仿宋"/>
          <w:b/>
          <w:sz w:val="24"/>
          <w:szCs w:val="24"/>
        </w:rPr>
        <w:t>的关系</w:t>
      </w:r>
    </w:p>
    <w:p>
      <w:pPr>
        <w:kinsoku w:val="0"/>
        <w:overflowPunct w:val="0"/>
        <w:autoSpaceDE w:val="0"/>
        <w:autoSpaceDN w:val="0"/>
        <w:spacing w:before="156" w:beforeLines="50" w:line="360" w:lineRule="auto"/>
        <w:jc w:val="center"/>
        <w:rPr>
          <w:rFonts w:ascii="仿宋" w:hAnsi="仿宋" w:eastAsia="仿宋"/>
          <w:b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表2 课程内容与课程目标的关系</w:t>
      </w:r>
      <w:r>
        <w:rPr>
          <w:rFonts w:hint="eastAsia" w:ascii="仿宋" w:hAnsi="仿宋" w:eastAsia="仿宋"/>
          <w:b/>
          <w:i/>
          <w:sz w:val="24"/>
          <w:szCs w:val="24"/>
        </w:rPr>
        <w:t>（示例）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方法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支撑</w:t>
            </w:r>
            <w:r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的课程目标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  <w:r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绪论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讲授法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课程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目标</w:t>
            </w: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第一章 x</w:t>
            </w:r>
            <w:r>
              <w:rPr>
                <w:rFonts w:ascii="楷体" w:hAnsi="楷体" w:eastAsia="楷体"/>
                <w:sz w:val="18"/>
                <w:szCs w:val="18"/>
              </w:rPr>
              <w:t>xxxxx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讲授法、专题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研讨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课程目标2、3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第二章 x</w:t>
            </w:r>
            <w:r>
              <w:rPr>
                <w:rFonts w:ascii="楷体" w:hAnsi="楷体" w:eastAsia="楷体"/>
                <w:sz w:val="18"/>
                <w:szCs w:val="18"/>
              </w:rPr>
              <w:t>xxxxx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讲授法、案例教学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课程目标2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ind w:firstLine="720" w:firstLineChars="400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ind w:firstLine="360" w:firstLineChars="200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实验一 x</w:t>
            </w:r>
            <w:r>
              <w:rPr>
                <w:rFonts w:ascii="楷体" w:hAnsi="楷体" w:eastAsia="楷体"/>
                <w:i/>
                <w:sz w:val="18"/>
                <w:szCs w:val="18"/>
              </w:rPr>
              <w:t>xxxxxx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ascii="楷体" w:hAnsi="楷体" w:eastAsia="楷体"/>
                <w:i/>
                <w:sz w:val="18"/>
                <w:szCs w:val="18"/>
              </w:rPr>
              <w:t>小组实验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课程目标3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ind w:firstLine="360" w:firstLineChars="200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实验二 xxxxxxx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实地调研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课程目标4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i/>
                <w:sz w:val="18"/>
                <w:szCs w:val="18"/>
              </w:rPr>
            </w:pPr>
            <w:r>
              <w:rPr>
                <w:rFonts w:hint="eastAsia" w:ascii="楷体" w:hAnsi="楷体" w:eastAsia="楷体"/>
                <w:i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360" w:lineRule="auto"/>
              <w:ind w:firstLine="720" w:firstLineChars="40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合计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××学时</w:t>
            </w:r>
          </w:p>
        </w:tc>
      </w:tr>
    </w:tbl>
    <w:p>
      <w:pPr>
        <w:kinsoku w:val="0"/>
        <w:overflowPunct w:val="0"/>
        <w:autoSpaceDE w:val="0"/>
        <w:autoSpaceDN w:val="0"/>
        <w:spacing w:before="156" w:beforeLines="50" w:line="360" w:lineRule="auto"/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（二）具体</w:t>
      </w:r>
      <w:r>
        <w:rPr>
          <w:rFonts w:ascii="仿宋" w:hAnsi="仿宋" w:eastAsia="仿宋"/>
          <w:b/>
          <w:sz w:val="24"/>
          <w:szCs w:val="24"/>
        </w:rPr>
        <w:t>内容</w:t>
      </w:r>
    </w:p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/>
          <w:b/>
          <w:sz w:val="24"/>
          <w:szCs w:val="24"/>
        </w:rPr>
        <w:t>×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章  </w:t>
      </w:r>
      <w:r>
        <w:rPr>
          <w:rFonts w:hint="eastAsia" w:ascii="仿宋" w:hAnsi="仿宋" w:eastAsia="仿宋"/>
          <w:b/>
          <w:sz w:val="24"/>
          <w:szCs w:val="24"/>
        </w:rPr>
        <w:t>××××××</w:t>
      </w:r>
      <w:r>
        <w:rPr>
          <w:rFonts w:hint="eastAsia" w:ascii="仿宋" w:hAnsi="仿宋" w:eastAsia="仿宋"/>
          <w:b/>
          <w:i/>
          <w:sz w:val="24"/>
          <w:szCs w:val="24"/>
        </w:rPr>
        <w:t>（只写</w:t>
      </w:r>
      <w:r>
        <w:rPr>
          <w:rFonts w:ascii="仿宋" w:hAnsi="仿宋" w:eastAsia="仿宋"/>
          <w:b/>
          <w:i/>
          <w:sz w:val="24"/>
          <w:szCs w:val="24"/>
        </w:rPr>
        <w:t>到章</w:t>
      </w:r>
      <w:r>
        <w:rPr>
          <w:rFonts w:hint="eastAsia" w:ascii="仿宋" w:hAnsi="仿宋" w:eastAsia="仿宋"/>
          <w:b/>
          <w:i/>
          <w:sz w:val="24"/>
          <w:szCs w:val="24"/>
        </w:rPr>
        <w:t>）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【学习目标】</w:t>
      </w:r>
      <w:r>
        <w:rPr>
          <w:rFonts w:hint="eastAsia" w:ascii="仿宋" w:hAnsi="仿宋" w:eastAsia="仿宋"/>
          <w:b/>
          <w:i/>
          <w:sz w:val="24"/>
          <w:szCs w:val="24"/>
        </w:rPr>
        <w:t>（示例）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z w:val="24"/>
          <w:szCs w:val="24"/>
        </w:rPr>
      </w:pPr>
      <w:r>
        <w:rPr>
          <w:rFonts w:ascii="仿宋" w:hAnsi="仿宋" w:eastAsia="仿宋"/>
          <w:i/>
          <w:sz w:val="24"/>
          <w:szCs w:val="24"/>
        </w:rPr>
        <w:t>1.</w:t>
      </w:r>
      <w:r>
        <w:rPr>
          <w:rFonts w:hint="eastAsia" w:ascii="仿宋" w:hAnsi="仿宋" w:eastAsia="仿宋"/>
          <w:i/>
          <w:sz w:val="24"/>
          <w:szCs w:val="24"/>
        </w:rPr>
        <w:t>了解《中学生物学教学论》课程的内容和要求。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z w:val="24"/>
          <w:szCs w:val="24"/>
        </w:rPr>
      </w:pPr>
      <w:r>
        <w:rPr>
          <w:rFonts w:ascii="仿宋" w:hAnsi="仿宋" w:eastAsia="仿宋"/>
          <w:i/>
          <w:sz w:val="24"/>
          <w:szCs w:val="24"/>
        </w:rPr>
        <w:t>2.</w:t>
      </w:r>
      <w:r>
        <w:rPr>
          <w:rFonts w:hint="eastAsia" w:ascii="仿宋" w:hAnsi="仿宋" w:eastAsia="仿宋"/>
          <w:i/>
          <w:sz w:val="24"/>
          <w:szCs w:val="24"/>
        </w:rPr>
        <w:t>掌握中学生物学教学论学习特点、方法和专业发展的途径；能够通过图书馆或网络检索查询生物学教育的期刊。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z w:val="24"/>
          <w:szCs w:val="24"/>
        </w:rPr>
      </w:pPr>
      <w:r>
        <w:rPr>
          <w:rFonts w:ascii="仿宋" w:hAnsi="仿宋" w:eastAsia="仿宋"/>
          <w:i/>
          <w:sz w:val="24"/>
          <w:szCs w:val="24"/>
        </w:rPr>
        <w:t>3.</w:t>
      </w:r>
      <w:r>
        <w:rPr>
          <w:rFonts w:hint="eastAsia" w:ascii="仿宋" w:hAnsi="仿宋" w:eastAsia="仿宋"/>
          <w:i/>
          <w:sz w:val="24"/>
          <w:szCs w:val="24"/>
        </w:rPr>
        <w:t>理解中学生物学教师的任务与岗位要求，生物学教师应该具备的专业知识和技能。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【学习内容】</w:t>
      </w:r>
      <w:r>
        <w:rPr>
          <w:rFonts w:hint="eastAsia" w:ascii="仿宋" w:hAnsi="仿宋" w:eastAsia="仿宋"/>
          <w:i/>
          <w:sz w:val="24"/>
          <w:szCs w:val="24"/>
        </w:rPr>
        <w:t>（列举本章主要学习内容）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1. </w:t>
      </w:r>
      <w:r>
        <w:rPr>
          <w:rFonts w:ascii="仿宋" w:hAnsi="仿宋" w:eastAsia="仿宋"/>
          <w:sz w:val="24"/>
          <w:szCs w:val="24"/>
        </w:rPr>
        <w:t>×××××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2. </w:t>
      </w:r>
      <w:r>
        <w:rPr>
          <w:rFonts w:ascii="仿宋" w:hAnsi="仿宋" w:eastAsia="仿宋"/>
          <w:sz w:val="24"/>
          <w:szCs w:val="24"/>
        </w:rPr>
        <w:t>×××××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……</w:t>
      </w:r>
    </w:p>
    <w:p>
      <w:pPr>
        <w:spacing w:line="360" w:lineRule="auto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【学习重点】</w:t>
      </w:r>
      <w:r>
        <w:rPr>
          <w:rFonts w:hint="eastAsia" w:ascii="仿宋" w:hAnsi="仿宋" w:eastAsia="仿宋"/>
          <w:i/>
          <w:sz w:val="24"/>
          <w:szCs w:val="24"/>
        </w:rPr>
        <w:t>（列举</w:t>
      </w:r>
      <w:r>
        <w:rPr>
          <w:rFonts w:ascii="仿宋" w:hAnsi="仿宋" w:eastAsia="仿宋"/>
          <w:i/>
          <w:sz w:val="24"/>
          <w:szCs w:val="24"/>
        </w:rPr>
        <w:t>本章学习重点</w:t>
      </w:r>
      <w:r>
        <w:rPr>
          <w:rFonts w:hint="eastAsia" w:ascii="仿宋" w:hAnsi="仿宋" w:eastAsia="仿宋"/>
          <w:i/>
          <w:sz w:val="24"/>
          <w:szCs w:val="24"/>
        </w:rPr>
        <w:t>）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×××××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×××××</w:t>
      </w:r>
    </w:p>
    <w:p>
      <w:pPr>
        <w:spacing w:line="360" w:lineRule="auto"/>
        <w:ind w:left="492" w:firstLine="240" w:firstLineChars="1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……</w:t>
      </w:r>
    </w:p>
    <w:p>
      <w:pPr>
        <w:spacing w:line="360" w:lineRule="auto"/>
        <w:rPr>
          <w:rFonts w:ascii="仿宋" w:hAnsi="仿宋" w:eastAsia="仿宋"/>
          <w:b/>
          <w:i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【学习难点】</w:t>
      </w:r>
      <w:r>
        <w:rPr>
          <w:rFonts w:hint="eastAsia" w:ascii="仿宋" w:hAnsi="仿宋" w:eastAsia="仿宋"/>
          <w:i/>
          <w:sz w:val="24"/>
          <w:szCs w:val="24"/>
        </w:rPr>
        <w:t>（列举本章学习难点）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 ×××××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 ×××××</w:t>
      </w:r>
    </w:p>
    <w:p>
      <w:pPr>
        <w:spacing w:line="360" w:lineRule="auto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……</w:t>
      </w:r>
    </w:p>
    <w:p>
      <w:pPr>
        <w:spacing w:before="156" w:beforeLines="50" w:line="360" w:lineRule="auto"/>
        <w:jc w:val="center"/>
        <w:rPr>
          <w:rFonts w:ascii="仿宋" w:hAnsi="仿宋" w:eastAsia="仿宋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i/>
          <w:sz w:val="24"/>
          <w:szCs w:val="24"/>
        </w:rPr>
        <w:t>（有课内实验（践）的课程，在最后一章的内容之末，填写下表）</w:t>
      </w:r>
    </w:p>
    <w:p>
      <w:pPr>
        <w:spacing w:before="156" w:beforeLines="50" w:line="360" w:lineRule="auto"/>
        <w:jc w:val="center"/>
        <w:rPr>
          <w:rFonts w:ascii="仿宋" w:hAnsi="仿宋" w:eastAsia="仿宋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表3 课内实验（践）项目与学时分配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2268"/>
        <w:gridCol w:w="709"/>
        <w:gridCol w:w="992"/>
        <w:gridCol w:w="99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实验（践）项目名称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实验（践）内容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实验类型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每组人数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必开/选开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（实验类型指演示性、验证性、综合性或设计性实验等。）</w:t>
      </w:r>
    </w:p>
    <w:p>
      <w:pPr>
        <w:spacing w:before="156" w:beforeLines="50" w:line="360" w:lineRule="auto"/>
        <w:ind w:firstLine="720" w:firstLineChars="3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四、教学方法</w:t>
      </w:r>
    </w:p>
    <w:p>
      <w:pPr>
        <w:spacing w:line="360" w:lineRule="auto"/>
        <w:ind w:firstLine="480" w:firstLineChars="200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（说明本课程的主要</w:t>
      </w:r>
      <w:r>
        <w:rPr>
          <w:rFonts w:ascii="仿宋" w:hAnsi="仿宋" w:eastAsia="仿宋"/>
          <w:i/>
          <w:sz w:val="24"/>
          <w:szCs w:val="24"/>
        </w:rPr>
        <w:t>教学方式方法</w:t>
      </w:r>
      <w:r>
        <w:rPr>
          <w:rFonts w:hint="eastAsia" w:ascii="仿宋" w:hAnsi="仿宋" w:eastAsia="仿宋"/>
          <w:i/>
          <w:sz w:val="24"/>
          <w:szCs w:val="24"/>
        </w:rPr>
        <w:t>，如</w:t>
      </w:r>
      <w:r>
        <w:rPr>
          <w:rFonts w:ascii="仿宋" w:hAnsi="仿宋" w:eastAsia="仿宋"/>
          <w:i/>
          <w:sz w:val="24"/>
          <w:szCs w:val="24"/>
        </w:rPr>
        <w:t>讲授法、专题研讨、案例教学、实验、实地调研等</w:t>
      </w:r>
      <w:r>
        <w:rPr>
          <w:rFonts w:hint="eastAsia" w:ascii="仿宋" w:hAnsi="仿宋" w:eastAsia="仿宋"/>
          <w:i/>
          <w:sz w:val="24"/>
          <w:szCs w:val="24"/>
        </w:rPr>
        <w:t>。）</w:t>
      </w:r>
    </w:p>
    <w:p>
      <w:pPr>
        <w:spacing w:line="360" w:lineRule="auto"/>
        <w:ind w:firstLine="480" w:firstLineChars="200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五、课程考核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（说明本课程</w:t>
      </w:r>
      <w:r>
        <w:rPr>
          <w:rFonts w:ascii="仿宋" w:hAnsi="仿宋" w:eastAsia="仿宋"/>
          <w:i/>
          <w:sz w:val="24"/>
          <w:szCs w:val="24"/>
        </w:rPr>
        <w:t>的</w:t>
      </w:r>
      <w:r>
        <w:rPr>
          <w:rFonts w:hint="eastAsia" w:ascii="仿宋" w:hAnsi="仿宋" w:eastAsia="仿宋"/>
          <w:i/>
          <w:sz w:val="24"/>
          <w:szCs w:val="24"/>
        </w:rPr>
        <w:t>考核方式，如：课堂表现、平时作业、阶段性测试、调研报告、课程论文、课堂考勤、期末考试等。）</w:t>
      </w:r>
    </w:p>
    <w:p>
      <w:pPr>
        <w:spacing w:line="360" w:lineRule="auto"/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总成绩（100</w:t>
      </w:r>
      <w:r>
        <w:rPr>
          <w:rFonts w:ascii="仿宋" w:hAnsi="仿宋" w:eastAsia="仿宋"/>
          <w:sz w:val="24"/>
          <w:szCs w:val="24"/>
        </w:rPr>
        <w:t>%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=</w:t>
      </w:r>
      <w:r>
        <w:rPr>
          <w:rFonts w:hint="eastAsia" w:ascii="仿宋" w:hAnsi="仿宋" w:eastAsia="仿宋"/>
          <w:sz w:val="24"/>
          <w:szCs w:val="24"/>
        </w:rPr>
        <w:t>考核方式1成绩（a</w:t>
      </w:r>
      <w:r>
        <w:rPr>
          <w:rFonts w:ascii="仿宋" w:hAnsi="仿宋" w:eastAsia="仿宋"/>
          <w:sz w:val="24"/>
          <w:szCs w:val="24"/>
        </w:rPr>
        <w:t>%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+</w:t>
      </w:r>
      <w:r>
        <w:rPr>
          <w:rFonts w:hint="eastAsia" w:ascii="仿宋" w:hAnsi="仿宋" w:eastAsia="仿宋"/>
          <w:sz w:val="24"/>
          <w:szCs w:val="24"/>
        </w:rPr>
        <w:t xml:space="preserve"> 考核方式2成绩（b%）</w:t>
      </w:r>
      <w:r>
        <w:rPr>
          <w:rFonts w:ascii="仿宋" w:hAnsi="仿宋" w:eastAsia="仿宋"/>
          <w:sz w:val="24"/>
          <w:szCs w:val="24"/>
        </w:rPr>
        <w:t>+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……</w:t>
      </w:r>
    </w:p>
    <w:p>
      <w:pPr>
        <w:spacing w:line="360" w:lineRule="auto"/>
        <w:ind w:firstLine="600" w:firstLineChars="25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（有合理的、多维度的过程性考核方式；考核内容覆盖课程目标、考核结果能合理反映课程目标的达成度；考核权重与教学内容相匹配。各考核环节必须有明确的成绩</w:t>
      </w:r>
      <w:r>
        <w:rPr>
          <w:rFonts w:ascii="仿宋" w:hAnsi="仿宋" w:eastAsia="仿宋"/>
          <w:i/>
          <w:sz w:val="24"/>
          <w:szCs w:val="24"/>
        </w:rPr>
        <w:t>评定</w:t>
      </w:r>
      <w:r>
        <w:rPr>
          <w:rFonts w:hint="eastAsia" w:ascii="仿宋" w:hAnsi="仿宋" w:eastAsia="仿宋"/>
          <w:i/>
          <w:sz w:val="24"/>
          <w:szCs w:val="24"/>
        </w:rPr>
        <w:t>标准；如果课程论文或</w:t>
      </w:r>
      <w:r>
        <w:rPr>
          <w:rFonts w:ascii="仿宋" w:hAnsi="仿宋" w:eastAsia="仿宋"/>
          <w:i/>
          <w:sz w:val="24"/>
          <w:szCs w:val="24"/>
        </w:rPr>
        <w:t>作品设计</w:t>
      </w:r>
      <w:r>
        <w:rPr>
          <w:rFonts w:hint="eastAsia" w:ascii="仿宋" w:hAnsi="仿宋" w:eastAsia="仿宋"/>
          <w:i/>
          <w:sz w:val="24"/>
          <w:szCs w:val="24"/>
        </w:rPr>
        <w:t>是课程考核的唯一方式，也必须明确课程论文或</w:t>
      </w:r>
      <w:r>
        <w:rPr>
          <w:rFonts w:ascii="仿宋" w:hAnsi="仿宋" w:eastAsia="仿宋"/>
          <w:i/>
          <w:sz w:val="24"/>
          <w:szCs w:val="24"/>
        </w:rPr>
        <w:t>作品设计</w:t>
      </w:r>
      <w:r>
        <w:rPr>
          <w:rFonts w:hint="eastAsia" w:ascii="仿宋" w:hAnsi="仿宋" w:eastAsia="仿宋"/>
          <w:i/>
          <w:sz w:val="24"/>
          <w:szCs w:val="24"/>
        </w:rPr>
        <w:t>的内容与课程目标的达成度，明确评分依据。）</w:t>
      </w:r>
    </w:p>
    <w:p>
      <w:pPr>
        <w:spacing w:line="360" w:lineRule="auto"/>
        <w:ind w:firstLine="600" w:firstLineChars="250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（考核方式应具体化；各考核方式的权重之和应为 100%；如果考核方式包含期末考试，则权重应不低于50%。）</w:t>
      </w:r>
    </w:p>
    <w:p>
      <w:pPr>
        <w:spacing w:line="360" w:lineRule="auto"/>
        <w:ind w:firstLine="600" w:firstLineChars="2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</w:t>
      </w:r>
      <w:r>
        <w:rPr>
          <w:rFonts w:ascii="黑体" w:hAnsi="黑体" w:eastAsia="黑体"/>
          <w:sz w:val="24"/>
          <w:szCs w:val="24"/>
        </w:rPr>
        <w:t>、课程评价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课程评价主要是本门课程的课程目标达成度评价。课程目标达成度评价主要采用定量评价与定性评价相结合的方法，具体包括：</w:t>
      </w:r>
      <w:r>
        <w:rPr>
          <w:rFonts w:hint="eastAsia" w:ascii="仿宋" w:hAnsi="仿宋" w:eastAsia="仿宋"/>
          <w:i/>
          <w:sz w:val="24"/>
          <w:szCs w:val="24"/>
        </w:rPr>
        <w:t>课程调查问卷、访谈、课程考核成绩分析法等。</w:t>
      </w:r>
    </w:p>
    <w:p>
      <w:pPr>
        <w:spacing w:line="360" w:lineRule="auto"/>
        <w:ind w:firstLine="600" w:firstLineChars="2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七、课程资源</w:t>
      </w:r>
    </w:p>
    <w:p>
      <w:pPr>
        <w:spacing w:line="360" w:lineRule="auto"/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（一）建议选用教材</w:t>
      </w:r>
    </w:p>
    <w:p>
      <w:pPr>
        <w:spacing w:line="360" w:lineRule="auto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编写者.教材名称（第×版）.出版地：出版社，出版年.</w:t>
      </w:r>
    </w:p>
    <w:p>
      <w:pPr>
        <w:spacing w:line="360" w:lineRule="auto"/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（二）主要参考书目</w:t>
      </w:r>
    </w:p>
    <w:p>
      <w:pPr>
        <w:spacing w:line="360" w:lineRule="auto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[1] 编著者.</w:t>
      </w:r>
      <w:r>
        <w:rPr>
          <w:rFonts w:hint="eastAsia"/>
          <w:i/>
        </w:rPr>
        <w:t xml:space="preserve"> </w:t>
      </w:r>
      <w:r>
        <w:rPr>
          <w:rFonts w:hint="eastAsia" w:ascii="仿宋" w:hAnsi="仿宋" w:eastAsia="仿宋"/>
          <w:i/>
          <w:sz w:val="24"/>
          <w:szCs w:val="24"/>
        </w:rPr>
        <w:t>参考书名称（第×版）.出版地：出版社，出版年.</w:t>
      </w:r>
    </w:p>
    <w:p>
      <w:pPr>
        <w:spacing w:line="360" w:lineRule="auto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……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（三）其它课程资源</w:t>
      </w:r>
    </w:p>
    <w:p>
      <w:pPr>
        <w:widowControl/>
        <w:adjustRightInd w:val="0"/>
        <w:spacing w:line="360" w:lineRule="auto"/>
        <w:ind w:left="540" w:leftChars="257"/>
        <w:jc w:val="left"/>
        <w:rPr>
          <w:rFonts w:ascii="仿宋" w:hAnsi="仿宋" w:eastAsia="仿宋"/>
          <w:i/>
          <w:sz w:val="24"/>
          <w:szCs w:val="24"/>
        </w:rPr>
      </w:pPr>
      <w:r>
        <w:rPr>
          <w:rFonts w:hint="eastAsia" w:ascii="仿宋" w:hAnsi="仿宋" w:eastAsia="仿宋"/>
          <w:i/>
          <w:sz w:val="24"/>
          <w:szCs w:val="24"/>
        </w:rPr>
        <w:t>（推荐的相关教学网站、教学平台、网络课程和专业文献网站等。）</w:t>
      </w:r>
    </w:p>
    <w:p>
      <w:pPr>
        <w:wordWrap w:val="0"/>
        <w:spacing w:line="360" w:lineRule="auto"/>
        <w:ind w:firstLine="3720" w:firstLineChars="1550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执笔人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</w:p>
    <w:p>
      <w:pPr>
        <w:wordWrap w:val="0"/>
        <w:spacing w:line="360" w:lineRule="auto"/>
        <w:ind w:firstLine="3720" w:firstLineChars="1550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</w:p>
    <w:p>
      <w:pPr>
        <w:wordWrap w:val="0"/>
        <w:spacing w:line="360" w:lineRule="auto"/>
        <w:ind w:firstLine="3720" w:firstLineChars="1550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课程负责人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</w:p>
    <w:p>
      <w:pPr>
        <w:wordWrap w:val="0"/>
        <w:spacing w:line="360" w:lineRule="auto"/>
        <w:ind w:firstLine="3720" w:firstLineChars="1550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审核人</w:t>
      </w:r>
      <w:r>
        <w:rPr>
          <w:rFonts w:hint="eastAsia" w:ascii="仿宋" w:hAnsi="仿宋" w:eastAsia="仿宋"/>
          <w:sz w:val="24"/>
          <w:szCs w:val="24"/>
        </w:rPr>
        <w:t>（系/教研室主任）：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</w:p>
    <w:p>
      <w:pPr>
        <w:wordWrap w:val="0"/>
        <w:spacing w:line="360" w:lineRule="auto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审定人（主管教学副院长/副主任）：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</w:t>
      </w:r>
    </w:p>
    <w:p>
      <w:pPr>
        <w:spacing w:line="360" w:lineRule="auto"/>
        <w:ind w:firstLine="3720" w:firstLineChars="155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2019 年   月</w:t>
      </w: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spacing w:after="312" w:afterLines="100" w:line="360" w:lineRule="auto"/>
        <w:rPr>
          <w:rFonts w:ascii="黑体" w:hAnsi="黑体" w:eastAsia="黑体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531" w:bottom="11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84106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hint="eastAsia" w:ascii="Times New Roman" w:hAnsi="Times New Roman" w:cs="Times New Roman"/>
          </w:rPr>
          <w:t>——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</w:rPr>
          <w:t>——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B2"/>
    <w:rsid w:val="00014312"/>
    <w:rsid w:val="000227CE"/>
    <w:rsid w:val="00034365"/>
    <w:rsid w:val="00041182"/>
    <w:rsid w:val="000421A6"/>
    <w:rsid w:val="00055815"/>
    <w:rsid w:val="00064627"/>
    <w:rsid w:val="0007464B"/>
    <w:rsid w:val="00075F87"/>
    <w:rsid w:val="00087425"/>
    <w:rsid w:val="000909A9"/>
    <w:rsid w:val="000A23E2"/>
    <w:rsid w:val="000A46B5"/>
    <w:rsid w:val="000B1B5B"/>
    <w:rsid w:val="000C4B0E"/>
    <w:rsid w:val="000C5890"/>
    <w:rsid w:val="000D0B77"/>
    <w:rsid w:val="000E53C6"/>
    <w:rsid w:val="001112DF"/>
    <w:rsid w:val="00114781"/>
    <w:rsid w:val="00151C78"/>
    <w:rsid w:val="001557E5"/>
    <w:rsid w:val="00156C54"/>
    <w:rsid w:val="001640C7"/>
    <w:rsid w:val="001641BD"/>
    <w:rsid w:val="001A1583"/>
    <w:rsid w:val="001A361C"/>
    <w:rsid w:val="001B66FA"/>
    <w:rsid w:val="001C35EA"/>
    <w:rsid w:val="001C7579"/>
    <w:rsid w:val="001D38D3"/>
    <w:rsid w:val="001D704D"/>
    <w:rsid w:val="001F2D23"/>
    <w:rsid w:val="0020192C"/>
    <w:rsid w:val="00211912"/>
    <w:rsid w:val="00212AB2"/>
    <w:rsid w:val="00214E19"/>
    <w:rsid w:val="00215653"/>
    <w:rsid w:val="00215EA4"/>
    <w:rsid w:val="0021691D"/>
    <w:rsid w:val="00220CDC"/>
    <w:rsid w:val="00222E54"/>
    <w:rsid w:val="00230080"/>
    <w:rsid w:val="002506A7"/>
    <w:rsid w:val="00265C26"/>
    <w:rsid w:val="002746E5"/>
    <w:rsid w:val="00285B8F"/>
    <w:rsid w:val="002A3915"/>
    <w:rsid w:val="002B4AB5"/>
    <w:rsid w:val="002B6517"/>
    <w:rsid w:val="002C1E1D"/>
    <w:rsid w:val="002D0192"/>
    <w:rsid w:val="002F14C7"/>
    <w:rsid w:val="002F71FE"/>
    <w:rsid w:val="00300CA6"/>
    <w:rsid w:val="00302C71"/>
    <w:rsid w:val="00321D64"/>
    <w:rsid w:val="00323C89"/>
    <w:rsid w:val="003448CB"/>
    <w:rsid w:val="00345034"/>
    <w:rsid w:val="00382574"/>
    <w:rsid w:val="0039199C"/>
    <w:rsid w:val="00397399"/>
    <w:rsid w:val="003A5C3F"/>
    <w:rsid w:val="003A7AD9"/>
    <w:rsid w:val="003C1B5C"/>
    <w:rsid w:val="003C310A"/>
    <w:rsid w:val="003D39D7"/>
    <w:rsid w:val="003E3907"/>
    <w:rsid w:val="00413DE9"/>
    <w:rsid w:val="00420470"/>
    <w:rsid w:val="00434E2C"/>
    <w:rsid w:val="00446215"/>
    <w:rsid w:val="00456D10"/>
    <w:rsid w:val="00457E6A"/>
    <w:rsid w:val="0047270D"/>
    <w:rsid w:val="00492BE8"/>
    <w:rsid w:val="00493CA6"/>
    <w:rsid w:val="004A49A7"/>
    <w:rsid w:val="004A529E"/>
    <w:rsid w:val="004D0E2D"/>
    <w:rsid w:val="004D15F5"/>
    <w:rsid w:val="004D688B"/>
    <w:rsid w:val="004E0FB5"/>
    <w:rsid w:val="004E3CB6"/>
    <w:rsid w:val="004F3032"/>
    <w:rsid w:val="004F4CAD"/>
    <w:rsid w:val="004F77CF"/>
    <w:rsid w:val="00500FFA"/>
    <w:rsid w:val="00501ECE"/>
    <w:rsid w:val="00522515"/>
    <w:rsid w:val="00523A2F"/>
    <w:rsid w:val="00541527"/>
    <w:rsid w:val="00543261"/>
    <w:rsid w:val="00563285"/>
    <w:rsid w:val="005638BC"/>
    <w:rsid w:val="0056465F"/>
    <w:rsid w:val="00577885"/>
    <w:rsid w:val="00581035"/>
    <w:rsid w:val="00581D0F"/>
    <w:rsid w:val="005825E7"/>
    <w:rsid w:val="005937A2"/>
    <w:rsid w:val="005B32F8"/>
    <w:rsid w:val="005B4A85"/>
    <w:rsid w:val="005E7206"/>
    <w:rsid w:val="00600D6B"/>
    <w:rsid w:val="00601D68"/>
    <w:rsid w:val="0060260B"/>
    <w:rsid w:val="0060282E"/>
    <w:rsid w:val="00611384"/>
    <w:rsid w:val="00622075"/>
    <w:rsid w:val="00634B4A"/>
    <w:rsid w:val="00641A2C"/>
    <w:rsid w:val="006466E3"/>
    <w:rsid w:val="00654958"/>
    <w:rsid w:val="00667AA7"/>
    <w:rsid w:val="00687247"/>
    <w:rsid w:val="00690B98"/>
    <w:rsid w:val="00692C15"/>
    <w:rsid w:val="00693FF5"/>
    <w:rsid w:val="006B661C"/>
    <w:rsid w:val="006C5F64"/>
    <w:rsid w:val="006C6E05"/>
    <w:rsid w:val="006E59A3"/>
    <w:rsid w:val="006E5ADE"/>
    <w:rsid w:val="00703E90"/>
    <w:rsid w:val="00710766"/>
    <w:rsid w:val="007165D7"/>
    <w:rsid w:val="00717DB2"/>
    <w:rsid w:val="00730F04"/>
    <w:rsid w:val="007429F6"/>
    <w:rsid w:val="00756CE1"/>
    <w:rsid w:val="00785BB4"/>
    <w:rsid w:val="00791E41"/>
    <w:rsid w:val="007A218F"/>
    <w:rsid w:val="007B13A2"/>
    <w:rsid w:val="007B3039"/>
    <w:rsid w:val="007B339F"/>
    <w:rsid w:val="007B3D5F"/>
    <w:rsid w:val="007C1121"/>
    <w:rsid w:val="007C152B"/>
    <w:rsid w:val="007C476C"/>
    <w:rsid w:val="007C55AC"/>
    <w:rsid w:val="007E51B4"/>
    <w:rsid w:val="007F7EE0"/>
    <w:rsid w:val="008025F4"/>
    <w:rsid w:val="00805295"/>
    <w:rsid w:val="00805BEB"/>
    <w:rsid w:val="008068CF"/>
    <w:rsid w:val="0080755C"/>
    <w:rsid w:val="008104CD"/>
    <w:rsid w:val="0081367E"/>
    <w:rsid w:val="0083139C"/>
    <w:rsid w:val="00843397"/>
    <w:rsid w:val="008441B4"/>
    <w:rsid w:val="00846A11"/>
    <w:rsid w:val="008470CA"/>
    <w:rsid w:val="008645C8"/>
    <w:rsid w:val="0087077E"/>
    <w:rsid w:val="008726FB"/>
    <w:rsid w:val="00881DEF"/>
    <w:rsid w:val="00884781"/>
    <w:rsid w:val="00885288"/>
    <w:rsid w:val="008965D9"/>
    <w:rsid w:val="008974A6"/>
    <w:rsid w:val="008A29A8"/>
    <w:rsid w:val="008D093A"/>
    <w:rsid w:val="008E2BDA"/>
    <w:rsid w:val="008F0291"/>
    <w:rsid w:val="008F0AA2"/>
    <w:rsid w:val="0091793E"/>
    <w:rsid w:val="00926FD9"/>
    <w:rsid w:val="00931B3C"/>
    <w:rsid w:val="0093349D"/>
    <w:rsid w:val="00933CA1"/>
    <w:rsid w:val="00936B90"/>
    <w:rsid w:val="00950D1A"/>
    <w:rsid w:val="009561E6"/>
    <w:rsid w:val="009617B3"/>
    <w:rsid w:val="009641C6"/>
    <w:rsid w:val="00965D72"/>
    <w:rsid w:val="00973918"/>
    <w:rsid w:val="009919CD"/>
    <w:rsid w:val="009A0057"/>
    <w:rsid w:val="009B4697"/>
    <w:rsid w:val="009B770B"/>
    <w:rsid w:val="009C5773"/>
    <w:rsid w:val="009D3E58"/>
    <w:rsid w:val="009D6FAE"/>
    <w:rsid w:val="009F31D0"/>
    <w:rsid w:val="009F7953"/>
    <w:rsid w:val="00A0316B"/>
    <w:rsid w:val="00A0694A"/>
    <w:rsid w:val="00A204AB"/>
    <w:rsid w:val="00A41EFA"/>
    <w:rsid w:val="00A56636"/>
    <w:rsid w:val="00A6151C"/>
    <w:rsid w:val="00A8283F"/>
    <w:rsid w:val="00A83E39"/>
    <w:rsid w:val="00A86AF8"/>
    <w:rsid w:val="00A948CD"/>
    <w:rsid w:val="00A964A6"/>
    <w:rsid w:val="00AA1D00"/>
    <w:rsid w:val="00AB0EDA"/>
    <w:rsid w:val="00AB42CA"/>
    <w:rsid w:val="00AB780F"/>
    <w:rsid w:val="00AC75BF"/>
    <w:rsid w:val="00AE4CF7"/>
    <w:rsid w:val="00AE4FB3"/>
    <w:rsid w:val="00AF69A4"/>
    <w:rsid w:val="00B042B0"/>
    <w:rsid w:val="00B20CC3"/>
    <w:rsid w:val="00B222FC"/>
    <w:rsid w:val="00B25EB4"/>
    <w:rsid w:val="00B26F06"/>
    <w:rsid w:val="00B4290A"/>
    <w:rsid w:val="00B45BBA"/>
    <w:rsid w:val="00B720BF"/>
    <w:rsid w:val="00B76FBF"/>
    <w:rsid w:val="00B92EE6"/>
    <w:rsid w:val="00B967A6"/>
    <w:rsid w:val="00BA59A5"/>
    <w:rsid w:val="00BB5EBB"/>
    <w:rsid w:val="00BC0294"/>
    <w:rsid w:val="00BD4FA9"/>
    <w:rsid w:val="00BF2588"/>
    <w:rsid w:val="00BF70C1"/>
    <w:rsid w:val="00C10301"/>
    <w:rsid w:val="00C23D71"/>
    <w:rsid w:val="00C303A9"/>
    <w:rsid w:val="00C61F9B"/>
    <w:rsid w:val="00C70488"/>
    <w:rsid w:val="00C762CE"/>
    <w:rsid w:val="00C77C08"/>
    <w:rsid w:val="00C91597"/>
    <w:rsid w:val="00C955FE"/>
    <w:rsid w:val="00CA6430"/>
    <w:rsid w:val="00CB1BA8"/>
    <w:rsid w:val="00CB48B2"/>
    <w:rsid w:val="00CB5451"/>
    <w:rsid w:val="00CC277B"/>
    <w:rsid w:val="00CE581F"/>
    <w:rsid w:val="00CF29BA"/>
    <w:rsid w:val="00D13B28"/>
    <w:rsid w:val="00D1619B"/>
    <w:rsid w:val="00D242FB"/>
    <w:rsid w:val="00D30EBD"/>
    <w:rsid w:val="00D415A4"/>
    <w:rsid w:val="00D7099F"/>
    <w:rsid w:val="00D76A78"/>
    <w:rsid w:val="00D83C5F"/>
    <w:rsid w:val="00D85073"/>
    <w:rsid w:val="00D86352"/>
    <w:rsid w:val="00DA7379"/>
    <w:rsid w:val="00DC791C"/>
    <w:rsid w:val="00DD722E"/>
    <w:rsid w:val="00DD76DF"/>
    <w:rsid w:val="00DF56E5"/>
    <w:rsid w:val="00E017D3"/>
    <w:rsid w:val="00E0482E"/>
    <w:rsid w:val="00E17E3E"/>
    <w:rsid w:val="00E2605F"/>
    <w:rsid w:val="00E276C2"/>
    <w:rsid w:val="00E3114C"/>
    <w:rsid w:val="00E367B4"/>
    <w:rsid w:val="00E40B1C"/>
    <w:rsid w:val="00E42E24"/>
    <w:rsid w:val="00E55CA8"/>
    <w:rsid w:val="00E67447"/>
    <w:rsid w:val="00EB6B96"/>
    <w:rsid w:val="00ED5B8E"/>
    <w:rsid w:val="00ED776E"/>
    <w:rsid w:val="00EE41A8"/>
    <w:rsid w:val="00EE66B9"/>
    <w:rsid w:val="00EF6D51"/>
    <w:rsid w:val="00F35FD2"/>
    <w:rsid w:val="00F453B6"/>
    <w:rsid w:val="00F47AAE"/>
    <w:rsid w:val="00F66B6E"/>
    <w:rsid w:val="00F6744F"/>
    <w:rsid w:val="00F8225F"/>
    <w:rsid w:val="00F83863"/>
    <w:rsid w:val="00F8427C"/>
    <w:rsid w:val="00FA3990"/>
    <w:rsid w:val="00FA3C20"/>
    <w:rsid w:val="00FB13C0"/>
    <w:rsid w:val="00FB1462"/>
    <w:rsid w:val="00FB4D58"/>
    <w:rsid w:val="00FC00DD"/>
    <w:rsid w:val="00FD176B"/>
    <w:rsid w:val="00FE0BE5"/>
    <w:rsid w:val="00FE5948"/>
    <w:rsid w:val="00FE7F4E"/>
    <w:rsid w:val="00FF6FB0"/>
    <w:rsid w:val="1FA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table" w:customStyle="1" w:styleId="12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F2488-EE07-49F7-BD6D-15BEBCB9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820</Words>
  <Characters>4680</Characters>
  <Lines>39</Lines>
  <Paragraphs>10</Paragraphs>
  <TotalTime>18376</TotalTime>
  <ScaleCrop>false</ScaleCrop>
  <LinksUpToDate>false</LinksUpToDate>
  <CharactersWithSpaces>5490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2019-05-09T07:08:00Z</dcterms:created>
  <dc:creator>赵万鹏</dc:creator>
  <cp:lastModifiedBy>shanlys</cp:lastModifiedBy>
  <cp:lastPrinted>2019-06-06T11:13:00Z</cp:lastPrinted>
  <dcterms:modified xsi:type="dcterms:W3CDTF">2019-06-19T01:07:05Z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